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07ECC360"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6F5D55">
        <w:rPr>
          <w:b/>
          <w:noProof/>
          <w:sz w:val="24"/>
        </w:rPr>
        <w:t>104</w:t>
      </w:r>
      <w:r w:rsidR="00203155">
        <w:rPr>
          <w:b/>
          <w:noProof/>
          <w:sz w:val="24"/>
        </w:rPr>
        <w:t>9</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BC6A2A3" w:rsidR="001E41F3" w:rsidRPr="004A6580" w:rsidRDefault="006F5D55" w:rsidP="00547111">
            <w:pPr>
              <w:pStyle w:val="CRCoverPage"/>
              <w:spacing w:after="0"/>
              <w:rPr>
                <w:noProof/>
              </w:rPr>
            </w:pPr>
            <w:r>
              <w:rPr>
                <w:b/>
                <w:noProof/>
                <w:sz w:val="28"/>
              </w:rPr>
              <w:t>16</w:t>
            </w:r>
            <w:r w:rsidR="00203155">
              <w:rPr>
                <w:b/>
                <w:noProof/>
                <w:sz w:val="28"/>
              </w:rPr>
              <w:t>20</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777EC688" w:rsidR="001E41F3" w:rsidRPr="00410371" w:rsidRDefault="00203155">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09CD0" w:rsidR="001E41F3" w:rsidRDefault="004A658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E31FE" w:rsidR="001E41F3" w:rsidRDefault="00FD1D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EC430" w:rsidR="001E41F3" w:rsidRDefault="00CA6447">
            <w:pPr>
              <w:pStyle w:val="CRCoverPage"/>
              <w:spacing w:after="0"/>
              <w:ind w:left="100"/>
              <w:rPr>
                <w:noProof/>
              </w:rPr>
            </w:pPr>
            <w:r w:rsidRPr="004A6580">
              <w:t>Rel-</w:t>
            </w:r>
            <w:r w:rsidR="0020315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E040" w14:textId="77777777" w:rsidR="00075C37" w:rsidRDefault="00075C37" w:rsidP="00075C37">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p w14:paraId="708AA7DE" w14:textId="0382ED44" w:rsidR="001E41F3" w:rsidRDefault="00075C37" w:rsidP="00075C37">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5D92" w14:textId="2761ABF2" w:rsidR="00075C37" w:rsidRDefault="00BF74D9" w:rsidP="00075C37">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w:t>
            </w:r>
            <w:r>
              <w:t>Protocol Description information</w:t>
            </w:r>
            <w:r w:rsidR="00075C37">
              <w:t>.</w:t>
            </w:r>
          </w:p>
          <w:p w14:paraId="31C656EC" w14:textId="7BB76873" w:rsidR="001E41F3" w:rsidRDefault="00075C37" w:rsidP="00075C37">
            <w:pPr>
              <w:pStyle w:val="CRCoverPage"/>
              <w:spacing w:after="0"/>
              <w:ind w:left="100"/>
            </w:pPr>
            <w:r>
              <w:t xml:space="preserve">Restructuring of some text in clause </w:t>
            </w:r>
            <w:r>
              <w:rPr>
                <w:lang w:eastAsia="zh-CN"/>
              </w:rPr>
              <w:t>6.1.3.27.4.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E52B" w:rsidR="001E41F3" w:rsidRDefault="00FD1DC2">
            <w:pPr>
              <w:pStyle w:val="CRCoverPage"/>
              <w:spacing w:after="0"/>
              <w:ind w:left="100"/>
              <w:rPr>
                <w:noProof/>
              </w:rPr>
            </w:pPr>
            <w:r w:rsidRPr="003D4ABF">
              <w:t>6.1.3.2.4</w:t>
            </w:r>
            <w:r w:rsidR="00B05371">
              <w:rPr>
                <w:noProof/>
              </w:rPr>
              <w:t xml:space="preserve">, </w:t>
            </w:r>
            <w:r w:rsidR="00B05371">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t>i.e.</w:t>
      </w:r>
      <w:proofErr w:type="gramEnd"/>
      <w:r>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 xml:space="preserve">Whenever the binding parameters of a PCC rule changes, the binding of this PCC rule shall be re-evaluated, </w:t>
      </w:r>
      <w:proofErr w:type="gramStart"/>
      <w:r>
        <w:t>i.e.</w:t>
      </w:r>
      <w:proofErr w:type="gramEnd"/>
      <w:r>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w:t>
      </w:r>
      <w:proofErr w:type="gramStart"/>
      <w:r>
        <w:t>i.e.</w:t>
      </w:r>
      <w:proofErr w:type="gramEnd"/>
      <w:r>
        <w:t xml:space="preserv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17CCC5E9" w14:textId="3008062E" w:rsidR="00CC2371" w:rsidRDefault="00CC2371" w:rsidP="00CC2371">
      <w:pPr>
        <w:pStyle w:val="B1"/>
      </w:pPr>
      <w:r>
        <w:t>-</w:t>
      </w:r>
      <w:r>
        <w:tab/>
      </w:r>
      <w:r>
        <w:t xml:space="preserve">When the PCF provisions a PCC rule with </w:t>
      </w:r>
      <w:ins w:id="4" w:author="Huawei" w:date="2026-01-29T19:11:00Z">
        <w:r w:rsidR="00FE0C50" w:rsidRPr="004A1016">
          <w:t>Protocol Description</w:t>
        </w:r>
        <w:r w:rsidR="00FE0C50">
          <w:t xml:space="preserve"> Information </w:t>
        </w:r>
        <w:r w:rsidR="00FE0C50" w:rsidRPr="00FE0C50">
          <w:t>or On-path N6 Signalling Information</w:t>
        </w:r>
        <w:r w:rsidR="00FE0C50">
          <w:t xml:space="preserve"> </w:t>
        </w:r>
      </w:ins>
      <w:ins w:id="5" w:author="Huawei1" w:date="2026-01-30T14:10:00Z">
        <w:r w:rsidR="004B4B2A">
          <w:t xml:space="preserve">together </w:t>
        </w:r>
      </w:ins>
      <w:ins w:id="6" w:author="Huawei" w:date="2026-01-29T19:12:00Z">
        <w:r w:rsidR="00FE0C50">
          <w:t xml:space="preserve">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CC2371">
      <w:pPr>
        <w:pStyle w:val="B1"/>
      </w:pPr>
      <w:r>
        <w:t>-</w:t>
      </w:r>
      <w:r>
        <w:tab/>
        <w:t>When the PCF provisions a PCC rule with Data Burst Handling Information, the PCC rule is bound to a new QoS Flow and no other PCC rule is bound to this QoS Flow.</w:t>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7" w:name="_CR6_1_3_3"/>
      <w:bookmarkEnd w:id="7"/>
      <w:r>
        <w:t>-</w:t>
      </w:r>
      <w:r>
        <w:tab/>
        <w:t>When the PCF provisions a PCC rule with RAN-Controlled UL Bitrate Recommendation Indication, the PCC rule is bound to a new QoS Flow and no other PCC rule is bound to this QoS Flow.</w:t>
      </w:r>
    </w:p>
    <w:p w14:paraId="086B83AC"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209604997"/>
      <w:bookmarkEnd w:id="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D09501" w14:textId="77777777" w:rsidR="00CC2371" w:rsidRPr="00BF74D9" w:rsidRDefault="00CC2371" w:rsidP="00CC2371">
      <w:pPr>
        <w:pStyle w:val="Heading5"/>
        <w:rPr>
          <w:lang w:eastAsia="zh-CN"/>
        </w:rPr>
      </w:pPr>
      <w:bookmarkStart w:id="9" w:name="_Toc217026553"/>
      <w:r>
        <w:rPr>
          <w:lang w:eastAsia="zh-CN"/>
        </w:rPr>
        <w:lastRenderedPageBreak/>
        <w:t>6.1.3.27.4</w:t>
      </w:r>
      <w:r>
        <w:rPr>
          <w:lang w:eastAsia="zh-CN"/>
        </w:rPr>
        <w:tab/>
      </w:r>
      <w:r w:rsidRPr="00BF74D9">
        <w:rPr>
          <w:lang w:eastAsia="zh-CN"/>
        </w:rPr>
        <w:t>PDU Set based handling</w:t>
      </w:r>
      <w:bookmarkEnd w:id="9"/>
    </w:p>
    <w:p w14:paraId="6FF11F40" w14:textId="265C0F42" w:rsidR="00CC2371" w:rsidRDefault="00CC2371" w:rsidP="00CC2371">
      <w:pPr>
        <w:rPr>
          <w:lang w:eastAsia="zh-CN"/>
        </w:rPr>
      </w:pPr>
      <w:r w:rsidRPr="00BF74D9">
        <w:rPr>
          <w:lang w:eastAsia="zh-CN"/>
        </w:rPr>
        <w:t>PDU Set based handling su</w:t>
      </w:r>
      <w:r>
        <w:rPr>
          <w:lang w:eastAsia="zh-CN"/>
        </w:rPr>
        <w:t>pport is defined in clause 5.37.5 of TS 23.501 [2]. The AF may provide the Protocol Description (UL and/or DL) and/or On-path N6 Signalling Information as described in TS 23.501 [2]</w:t>
      </w:r>
      <w:ins w:id="10" w:author="Huawei" w:date="2026-01-05T17:03:00Z">
        <w:r w:rsidRPr="00CC2371">
          <w:rPr>
            <w:highlight w:val="green"/>
            <w:lang w:eastAsia="zh-CN"/>
          </w:rPr>
          <w:t xml:space="preserve"> </w:t>
        </w:r>
        <w:r w:rsidRPr="004A1016">
          <w:rPr>
            <w:highlight w:val="green"/>
            <w:lang w:eastAsia="zh-CN"/>
          </w:rPr>
          <w:t>when the AF requests that a data session to a UE (including the case of 5G-RG) is set up with a specific QoS (as described in clause 6.1.3.22)</w:t>
        </w:r>
      </w:ins>
      <w:r>
        <w:rPr>
          <w:lang w:eastAsia="zh-CN"/>
        </w:rPr>
        <w:t>.</w:t>
      </w:r>
    </w:p>
    <w:p w14:paraId="1048DCEE" w14:textId="681A38B0" w:rsidR="00CC2371" w:rsidRDefault="00CC2371" w:rsidP="00CC2371">
      <w:pPr>
        <w:rPr>
          <w:lang w:eastAsia="zh-CN"/>
        </w:rPr>
      </w:pPr>
      <w:ins w:id="11" w:author="Huawei" w:date="2026-01-05T17:03:00Z">
        <w:r w:rsidRPr="004A1016">
          <w:rPr>
            <w:highlight w:val="cyan"/>
            <w:lang w:eastAsia="zh-CN"/>
          </w:rPr>
          <w:t>To enable PDU Set based handling, t</w:t>
        </w:r>
      </w:ins>
      <w:del w:id="12" w:author="Huawei" w:date="2026-01-05T17:03:00Z">
        <w:r w:rsidDel="00CC2371">
          <w:rPr>
            <w:lang w:eastAsia="zh-CN"/>
          </w:rPr>
          <w:delText>T</w:delText>
        </w:r>
      </w:del>
      <w:proofErr w:type="gramStart"/>
      <w:r>
        <w:rPr>
          <w:lang w:eastAsia="zh-CN"/>
        </w:rPr>
        <w:t>he</w:t>
      </w:r>
      <w:proofErr w:type="gramEnd"/>
      <w:r>
        <w:rPr>
          <w:lang w:eastAsia="zh-CN"/>
        </w:rPr>
        <w:t xml:space="preserve"> PCF </w:t>
      </w:r>
      <w:r w:rsidRPr="00CC2371">
        <w:rPr>
          <w:highlight w:val="cyan"/>
          <w:lang w:eastAsia="zh-CN"/>
        </w:rPr>
        <w:t>shall</w:t>
      </w:r>
      <w:r>
        <w:rPr>
          <w:lang w:eastAsia="zh-CN"/>
        </w:rPr>
        <w:t xml:space="preserve">, based on local configuration or on information received from the AF, include the UL and/or DL Protocol Description (see clause 5.37.5 of TS 23.501 [2] and TS 26.522 [40]) </w:t>
      </w:r>
      <w:r w:rsidRPr="00027E7C">
        <w:rPr>
          <w:lang w:eastAsia="zh-CN"/>
        </w:rPr>
        <w:t>and/</w:t>
      </w:r>
      <w:bookmarkStart w:id="13" w:name="_Hlk220606257"/>
      <w:r w:rsidRPr="00027E7C">
        <w:rPr>
          <w:lang w:eastAsia="zh-CN"/>
        </w:rPr>
        <w:t>or</w:t>
      </w:r>
      <w:r>
        <w:rPr>
          <w:lang w:eastAsia="zh-CN"/>
        </w:rPr>
        <w:t xml:space="preserve"> On-path N6 Signalling Information</w:t>
      </w:r>
      <w:bookmarkEnd w:id="13"/>
      <w:r>
        <w:rPr>
          <w:lang w:eastAsia="zh-CN"/>
        </w:rPr>
        <w:t xml:space="preserve"> (see clause 5.37.9 of TS 23.501 [2]) in the PCC Rule.</w:t>
      </w:r>
    </w:p>
    <w:p w14:paraId="5650418B" w14:textId="77777777" w:rsidR="00CC2371" w:rsidRDefault="00CC2371" w:rsidP="00CC2371">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FEF5C58" w14:textId="6452820F" w:rsidR="00CC2371" w:rsidRDefault="00CC2371" w:rsidP="00CC2371">
      <w:pPr>
        <w:rPr>
          <w:lang w:eastAsia="zh-CN"/>
        </w:rPr>
      </w:pPr>
      <w:del w:id="14" w:author="Huawei" w:date="2026-01-05T17:04:00Z">
        <w:r w:rsidRPr="00CC2371" w:rsidDel="00CC2371">
          <w:rPr>
            <w:highlight w:val="green"/>
            <w:lang w:eastAsia="zh-CN"/>
          </w:rPr>
          <w:delText>When the AF requests that a data session to a UE (including the case of 5G-RG) is set up with a specific QoS (as described in clause 6.1.3.22), t</w:delText>
        </w:r>
      </w:del>
      <w:ins w:id="15" w:author="Huawei" w:date="2026-01-05T17:04:00Z">
        <w:r w:rsidRPr="00CC2371">
          <w:rPr>
            <w:highlight w:val="green"/>
            <w:lang w:eastAsia="zh-CN"/>
          </w:rPr>
          <w:t>T</w:t>
        </w:r>
      </w:ins>
      <w:r>
        <w:rPr>
          <w:lang w:eastAsia="zh-CN"/>
        </w:rPr>
        <w:t xml:space="preserve">he AF may also provide Requested PDU Set Delay Budget (UL and/or DL), Requested PDU Set Error Rate (UL and/or DL) and/or Requested PDU Set Integrated Handling Information (UL and/or DL) to describe the requirements for the </w:t>
      </w:r>
      <w:r w:rsidRPr="00BF74D9">
        <w:rPr>
          <w:lang w:eastAsia="zh-CN"/>
        </w:rPr>
        <w:t xml:space="preserve">PDU Set based </w:t>
      </w:r>
      <w:del w:id="16" w:author="Huawei" w:date="2026-01-29T19:07:00Z">
        <w:r w:rsidRPr="00CC2371" w:rsidDel="005625AE">
          <w:rPr>
            <w:highlight w:val="yellow"/>
            <w:lang w:eastAsia="zh-CN"/>
          </w:rPr>
          <w:delText xml:space="preserve">QoS </w:delText>
        </w:r>
      </w:del>
      <w:r w:rsidRPr="00BF74D9">
        <w:rPr>
          <w:lang w:eastAsia="zh-CN"/>
        </w:rPr>
        <w:t>handling</w:t>
      </w:r>
      <w:r>
        <w:rPr>
          <w:lang w:eastAsia="zh-CN"/>
        </w:rPr>
        <w:t xml:space="preserve">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B3FCD" w14:textId="77777777" w:rsidR="00127663" w:rsidRDefault="00127663">
      <w:r>
        <w:separator/>
      </w:r>
    </w:p>
  </w:endnote>
  <w:endnote w:type="continuationSeparator" w:id="0">
    <w:p w14:paraId="6801BEDE" w14:textId="77777777" w:rsidR="00127663" w:rsidRDefault="0012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3CB9C" w14:textId="77777777" w:rsidR="00127663" w:rsidRDefault="00127663">
      <w:r>
        <w:separator/>
      </w:r>
    </w:p>
  </w:footnote>
  <w:footnote w:type="continuationSeparator" w:id="0">
    <w:p w14:paraId="762E31B7" w14:textId="77777777" w:rsidR="00127663" w:rsidRDefault="0012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7E7C"/>
    <w:rsid w:val="00034810"/>
    <w:rsid w:val="00070E09"/>
    <w:rsid w:val="00075C37"/>
    <w:rsid w:val="00093C5B"/>
    <w:rsid w:val="000A6394"/>
    <w:rsid w:val="000B7FC2"/>
    <w:rsid w:val="000B7FED"/>
    <w:rsid w:val="000C038A"/>
    <w:rsid w:val="000C6598"/>
    <w:rsid w:val="000D44B3"/>
    <w:rsid w:val="000D7BDC"/>
    <w:rsid w:val="000E54A6"/>
    <w:rsid w:val="001028A3"/>
    <w:rsid w:val="00127663"/>
    <w:rsid w:val="00145D43"/>
    <w:rsid w:val="00150BAD"/>
    <w:rsid w:val="00182F2A"/>
    <w:rsid w:val="00192C46"/>
    <w:rsid w:val="001A08B3"/>
    <w:rsid w:val="001A53C1"/>
    <w:rsid w:val="001A7B60"/>
    <w:rsid w:val="001B52F0"/>
    <w:rsid w:val="001B7A65"/>
    <w:rsid w:val="001E41F3"/>
    <w:rsid w:val="00203155"/>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7A2"/>
    <w:rsid w:val="00344471"/>
    <w:rsid w:val="00345F57"/>
    <w:rsid w:val="00357A44"/>
    <w:rsid w:val="003609EF"/>
    <w:rsid w:val="0036231A"/>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5141D9"/>
    <w:rsid w:val="0051580D"/>
    <w:rsid w:val="00547111"/>
    <w:rsid w:val="005625AE"/>
    <w:rsid w:val="0059064B"/>
    <w:rsid w:val="00592D74"/>
    <w:rsid w:val="005B3A7B"/>
    <w:rsid w:val="005C0540"/>
    <w:rsid w:val="005C1CBE"/>
    <w:rsid w:val="005C30C7"/>
    <w:rsid w:val="005E2C44"/>
    <w:rsid w:val="005E4286"/>
    <w:rsid w:val="00621188"/>
    <w:rsid w:val="006257ED"/>
    <w:rsid w:val="00653DE4"/>
    <w:rsid w:val="0065722D"/>
    <w:rsid w:val="00665C47"/>
    <w:rsid w:val="00695808"/>
    <w:rsid w:val="006B46FB"/>
    <w:rsid w:val="006D2399"/>
    <w:rsid w:val="006E21FB"/>
    <w:rsid w:val="006F5D55"/>
    <w:rsid w:val="00792342"/>
    <w:rsid w:val="007977A8"/>
    <w:rsid w:val="007B512A"/>
    <w:rsid w:val="007C2097"/>
    <w:rsid w:val="007D6A07"/>
    <w:rsid w:val="007F58FE"/>
    <w:rsid w:val="007F7259"/>
    <w:rsid w:val="008040A8"/>
    <w:rsid w:val="008250EB"/>
    <w:rsid w:val="008279FA"/>
    <w:rsid w:val="00827F20"/>
    <w:rsid w:val="008626E7"/>
    <w:rsid w:val="00870EE7"/>
    <w:rsid w:val="008863B9"/>
    <w:rsid w:val="008A45A6"/>
    <w:rsid w:val="008A7EDC"/>
    <w:rsid w:val="008B01E2"/>
    <w:rsid w:val="008D3CCC"/>
    <w:rsid w:val="008D4F6E"/>
    <w:rsid w:val="008D5A9A"/>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A2CBC"/>
    <w:rsid w:val="00AC5820"/>
    <w:rsid w:val="00AC72AC"/>
    <w:rsid w:val="00AD1CD8"/>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E7D7C"/>
    <w:rsid w:val="00F07FC6"/>
    <w:rsid w:val="00F10792"/>
    <w:rsid w:val="00F2112A"/>
    <w:rsid w:val="00F25D98"/>
    <w:rsid w:val="00F300FB"/>
    <w:rsid w:val="00F331E5"/>
    <w:rsid w:val="00F971C8"/>
    <w:rsid w:val="00FB6386"/>
    <w:rsid w:val="00FD08F4"/>
    <w:rsid w:val="00FD1DC2"/>
    <w:rsid w:val="00FD3BA3"/>
    <w:rsid w:val="00FE0C50"/>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1956</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1900-01-01T05:00:00Z</cp:lastPrinted>
  <dcterms:created xsi:type="dcterms:W3CDTF">2026-01-30T16:47:00Z</dcterms:created>
  <dcterms:modified xsi:type="dcterms:W3CDTF">2026-01-30T16:47:00Z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